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4A" w:rsidRPr="00685EA5" w:rsidRDefault="008C424A" w:rsidP="008C424A">
      <w:pPr>
        <w:pStyle w:val="a3"/>
        <w:shd w:val="clear" w:color="auto" w:fill="FFFFFF"/>
        <w:spacing w:before="0" w:beforeAutospacing="0" w:after="0" w:afterAutospacing="0"/>
        <w:ind w:firstLine="480"/>
        <w:rPr>
          <w:rFonts w:ascii="Times New Roman" w:eastAsia="楷体" w:hAnsi="Times New Roman" w:hint="eastAsia"/>
          <w:color w:val="000000"/>
          <w:sz w:val="21"/>
          <w:szCs w:val="21"/>
          <w:shd w:val="clear" w:color="auto" w:fill="FFFFFF"/>
        </w:rPr>
      </w:pPr>
    </w:p>
    <w:p w:rsidR="008C424A" w:rsidRPr="00685EA5" w:rsidRDefault="008C424A" w:rsidP="008C424A">
      <w:pPr>
        <w:pStyle w:val="a3"/>
        <w:shd w:val="clear" w:color="auto" w:fill="FFFFFF"/>
        <w:spacing w:before="0" w:beforeAutospacing="0" w:after="0" w:afterAutospacing="0"/>
        <w:ind w:firstLine="480"/>
        <w:rPr>
          <w:rFonts w:ascii="Times New Roman" w:eastAsia="楷体" w:hAnsi="Times New Roman"/>
          <w:color w:val="000000"/>
          <w:sz w:val="21"/>
          <w:szCs w:val="21"/>
          <w:shd w:val="clear" w:color="auto" w:fill="FFFFFF"/>
        </w:rPr>
      </w:pPr>
    </w:p>
    <w:p w:rsidR="008C424A" w:rsidRPr="00685EA5" w:rsidRDefault="008C424A" w:rsidP="008C424A">
      <w:pPr>
        <w:pStyle w:val="a3"/>
        <w:shd w:val="clear" w:color="auto" w:fill="FFFFFF"/>
        <w:spacing w:before="0" w:beforeAutospacing="0" w:after="0" w:afterAutospacing="0"/>
        <w:rPr>
          <w:rFonts w:ascii="Times New Roman" w:hAnsi="Times New Roman" w:cs="Arial"/>
          <w:color w:val="222222"/>
          <w:sz w:val="21"/>
          <w:szCs w:val="21"/>
          <w:lang w:val="sv-SE"/>
        </w:rPr>
      </w:pPr>
      <w:r w:rsidRPr="00685EA5">
        <w:rPr>
          <w:rFonts w:ascii="Times New Roman" w:hAnsi="Times New Roman"/>
          <w:noProof/>
          <w:sz w:val="21"/>
          <w:szCs w:val="21"/>
          <w:lang w:bidi="ar-SA"/>
        </w:rPr>
        <w:drawing>
          <wp:anchor distT="0" distB="0" distL="114300" distR="114300" simplePos="0" relativeHeight="251659264" behindDoc="0" locked="0" layoutInCell="1" allowOverlap="1">
            <wp:simplePos x="0" y="0"/>
            <wp:positionH relativeFrom="column">
              <wp:posOffset>4057650</wp:posOffset>
            </wp:positionH>
            <wp:positionV relativeFrom="paragraph">
              <wp:posOffset>0</wp:posOffset>
            </wp:positionV>
            <wp:extent cx="1457325" cy="1762125"/>
            <wp:effectExtent l="0" t="0" r="9525" b="9525"/>
            <wp:wrapSquare wrapText="bothSides"/>
            <wp:docPr id="2" name="图片 2" descr="C:\Users\jsolkey\Pictures\Brian's 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olkey\Pictures\Brian's picture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EA5">
        <w:rPr>
          <w:rFonts w:ascii="Times New Roman" w:eastAsia="Times New Roman" w:hAnsi="Times New Roman"/>
          <w:color w:val="000000"/>
          <w:sz w:val="21"/>
          <w:szCs w:val="21"/>
          <w:lang w:val="sv-SE"/>
        </w:rPr>
        <w:t>Brian S. J. Blagg, Ph.D.</w:t>
      </w:r>
    </w:p>
    <w:p w:rsidR="008C424A" w:rsidRPr="00685EA5" w:rsidRDefault="008C424A" w:rsidP="008C424A">
      <w:pPr>
        <w:shd w:val="clear" w:color="auto" w:fill="FFFFFF"/>
        <w:rPr>
          <w:rFonts w:cs="Arial"/>
          <w:color w:val="222222"/>
          <w:szCs w:val="21"/>
        </w:rPr>
      </w:pPr>
      <w:r w:rsidRPr="00685EA5">
        <w:rPr>
          <w:rFonts w:eastAsia="Times New Roman" w:cs="Calibri"/>
          <w:color w:val="000000"/>
          <w:szCs w:val="21"/>
        </w:rPr>
        <w:t xml:space="preserve">Director, Warren Center for Drug Discovery </w:t>
      </w:r>
    </w:p>
    <w:p w:rsidR="008C424A" w:rsidRPr="00685EA5" w:rsidRDefault="008C424A" w:rsidP="008C424A">
      <w:pPr>
        <w:shd w:val="clear" w:color="auto" w:fill="FFFFFF"/>
        <w:rPr>
          <w:rFonts w:cs="Arial"/>
          <w:color w:val="222222"/>
          <w:szCs w:val="21"/>
        </w:rPr>
      </w:pPr>
      <w:r w:rsidRPr="00685EA5">
        <w:rPr>
          <w:rFonts w:eastAsia="Times New Roman" w:cs="Calibri"/>
          <w:color w:val="000000"/>
          <w:szCs w:val="21"/>
        </w:rPr>
        <w:t xml:space="preserve">Charles </w:t>
      </w:r>
      <w:proofErr w:type="spellStart"/>
      <w:r w:rsidRPr="00685EA5">
        <w:rPr>
          <w:rFonts w:eastAsia="Times New Roman" w:cs="Calibri"/>
          <w:color w:val="000000"/>
          <w:szCs w:val="21"/>
        </w:rPr>
        <w:t>Huisking</w:t>
      </w:r>
      <w:proofErr w:type="spellEnd"/>
      <w:r w:rsidRPr="00685EA5">
        <w:rPr>
          <w:rFonts w:eastAsia="Times New Roman" w:cs="Calibri"/>
          <w:color w:val="000000"/>
          <w:szCs w:val="21"/>
        </w:rPr>
        <w:t xml:space="preserve"> Professor of Chemistry and Biochemistry</w:t>
      </w:r>
    </w:p>
    <w:p w:rsidR="008C424A" w:rsidRPr="00685EA5" w:rsidRDefault="008C424A" w:rsidP="008C424A">
      <w:pPr>
        <w:shd w:val="clear" w:color="auto" w:fill="FFFFFF"/>
        <w:rPr>
          <w:rFonts w:cs="Arial"/>
          <w:color w:val="222222"/>
          <w:szCs w:val="21"/>
        </w:rPr>
      </w:pPr>
      <w:r w:rsidRPr="00685EA5">
        <w:rPr>
          <w:rFonts w:eastAsia="Times New Roman" w:cs="Calibri"/>
          <w:color w:val="000000"/>
          <w:szCs w:val="21"/>
        </w:rPr>
        <w:t>Associate Editor, the Journal of Medicinal Chemistry</w:t>
      </w:r>
    </w:p>
    <w:p w:rsidR="008C424A" w:rsidRPr="00685EA5" w:rsidRDefault="008C424A" w:rsidP="008C424A">
      <w:pPr>
        <w:rPr>
          <w:rFonts w:cs="Calibri"/>
          <w:color w:val="000000"/>
          <w:szCs w:val="21"/>
        </w:rPr>
      </w:pPr>
    </w:p>
    <w:p w:rsidR="008C424A" w:rsidRPr="00685EA5" w:rsidRDefault="008C424A" w:rsidP="008C424A">
      <w:pPr>
        <w:rPr>
          <w:rFonts w:cs="Calibri"/>
          <w:color w:val="000000"/>
          <w:szCs w:val="21"/>
        </w:rPr>
      </w:pPr>
    </w:p>
    <w:p w:rsidR="008C424A" w:rsidRPr="00685EA5" w:rsidRDefault="008C424A" w:rsidP="008C424A">
      <w:pPr>
        <w:rPr>
          <w:rFonts w:cs="Calibri"/>
          <w:color w:val="000000"/>
          <w:szCs w:val="21"/>
        </w:rPr>
      </w:pPr>
    </w:p>
    <w:p w:rsidR="008C424A" w:rsidRPr="00685EA5" w:rsidRDefault="008C424A" w:rsidP="008C424A">
      <w:pPr>
        <w:rPr>
          <w:szCs w:val="21"/>
        </w:rPr>
      </w:pPr>
    </w:p>
    <w:p w:rsidR="008C424A" w:rsidRPr="00685EA5" w:rsidRDefault="008C424A" w:rsidP="008C424A">
      <w:pPr>
        <w:rPr>
          <w:szCs w:val="21"/>
        </w:rPr>
      </w:pPr>
    </w:p>
    <w:p w:rsidR="008C424A" w:rsidRPr="00685EA5" w:rsidRDefault="008C424A" w:rsidP="008C424A">
      <w:pPr>
        <w:rPr>
          <w:rFonts w:eastAsia="Times New Roman" w:cs="Calibri"/>
          <w:szCs w:val="21"/>
        </w:rPr>
      </w:pPr>
      <w:r w:rsidRPr="00685EA5">
        <w:rPr>
          <w:szCs w:val="21"/>
        </w:rPr>
        <w:t xml:space="preserve">Before joining the University </w:t>
      </w:r>
      <w:proofErr w:type="gramStart"/>
      <w:r w:rsidRPr="00685EA5">
        <w:rPr>
          <w:szCs w:val="21"/>
        </w:rPr>
        <w:t>of</w:t>
      </w:r>
      <w:proofErr w:type="gramEnd"/>
      <w:r w:rsidRPr="00685EA5">
        <w:rPr>
          <w:szCs w:val="21"/>
        </w:rPr>
        <w:t xml:space="preserve"> Notre Dame in 2017 as the director of Warren Center for Drug Discovery, Professor </w:t>
      </w:r>
      <w:proofErr w:type="spellStart"/>
      <w:r w:rsidRPr="00685EA5">
        <w:rPr>
          <w:szCs w:val="21"/>
        </w:rPr>
        <w:t>Blagg</w:t>
      </w:r>
      <w:proofErr w:type="spellEnd"/>
      <w:r w:rsidRPr="00685EA5">
        <w:rPr>
          <w:szCs w:val="21"/>
        </w:rPr>
        <w:t xml:space="preserve"> was Lester and Betty </w:t>
      </w:r>
      <w:proofErr w:type="spellStart"/>
      <w:r w:rsidRPr="00685EA5">
        <w:rPr>
          <w:szCs w:val="21"/>
        </w:rPr>
        <w:t>Mitscher</w:t>
      </w:r>
      <w:proofErr w:type="spellEnd"/>
      <w:r w:rsidRPr="00685EA5">
        <w:rPr>
          <w:szCs w:val="21"/>
        </w:rPr>
        <w:t xml:space="preserve"> Professor at the University of Kansas. Since 2018, he has been a member of the editorial board for the International Journal of Molecular Sciences.  He also served as an ad hoc member with NIH as well being on the editorial board for numerous scientific journals.  His interests pertain to the development of isoform-selective inhibitors for the treatment of various diseases.  His talk will be on </w:t>
      </w:r>
      <w:r w:rsidRPr="00685EA5">
        <w:rPr>
          <w:rFonts w:eastAsia="Times New Roman" w:cs="Calibri"/>
          <w:color w:val="222222"/>
          <w:szCs w:val="21"/>
          <w:shd w:val="clear" w:color="auto" w:fill="FFFFFF"/>
        </w:rPr>
        <w:t xml:space="preserve">Hsp90 is a molecular chaperone that is responsible for the conformational maturation of ~300 peptide substrates, most of which are involved in signaling cascades that are hijacked during malignant transformation. Consequently, Hsp90 represents a promising therapeutic target for the development of anti-cancer agents. Hsp90 is also the master regulator of the pro-survival heat shock response that provides </w:t>
      </w:r>
      <w:proofErr w:type="spellStart"/>
      <w:r w:rsidRPr="00685EA5">
        <w:rPr>
          <w:rFonts w:eastAsia="Times New Roman" w:cs="Calibri"/>
          <w:color w:val="222222"/>
          <w:szCs w:val="21"/>
          <w:shd w:val="clear" w:color="auto" w:fill="FFFFFF"/>
        </w:rPr>
        <w:t>cyto</w:t>
      </w:r>
      <w:proofErr w:type="spellEnd"/>
      <w:r w:rsidRPr="00685EA5">
        <w:rPr>
          <w:rFonts w:eastAsia="Times New Roman" w:cs="Calibri"/>
          <w:color w:val="222222"/>
          <w:szCs w:val="21"/>
          <w:shd w:val="clear" w:color="auto" w:fill="FFFFFF"/>
        </w:rPr>
        <w:t xml:space="preserve"> protection for cells exposed to cellular stress. Therefore, Hsp90 can be a therapeutic target for the treatment of cancer as well as neurodegenerative diseases. Based on the natural products </w:t>
      </w:r>
      <w:proofErr w:type="spellStart"/>
      <w:r w:rsidRPr="00685EA5">
        <w:rPr>
          <w:rFonts w:eastAsia="Times New Roman" w:cs="Calibri"/>
          <w:color w:val="222222"/>
          <w:szCs w:val="21"/>
          <w:shd w:val="clear" w:color="auto" w:fill="FFFFFF"/>
        </w:rPr>
        <w:t>geldanamycin</w:t>
      </w:r>
      <w:proofErr w:type="gramStart"/>
      <w:r w:rsidRPr="00685EA5">
        <w:rPr>
          <w:rFonts w:eastAsia="Times New Roman" w:cs="Calibri"/>
          <w:color w:val="222222"/>
          <w:szCs w:val="21"/>
          <w:shd w:val="clear" w:color="auto" w:fill="FFFFFF"/>
        </w:rPr>
        <w:t>,radicicol</w:t>
      </w:r>
      <w:proofErr w:type="spellEnd"/>
      <w:proofErr w:type="gramEnd"/>
      <w:r w:rsidRPr="00685EA5">
        <w:rPr>
          <w:rFonts w:eastAsia="Times New Roman" w:cs="Calibri"/>
          <w:color w:val="222222"/>
          <w:szCs w:val="21"/>
          <w:shd w:val="clear" w:color="auto" w:fill="FFFFFF"/>
        </w:rPr>
        <w:t xml:space="preserve">, </w:t>
      </w:r>
      <w:proofErr w:type="spellStart"/>
      <w:r w:rsidRPr="00685EA5">
        <w:rPr>
          <w:rFonts w:eastAsia="Times New Roman" w:cs="Calibri"/>
          <w:color w:val="222222"/>
          <w:szCs w:val="21"/>
          <w:shd w:val="clear" w:color="auto" w:fill="FFFFFF"/>
        </w:rPr>
        <w:t>novobiocin</w:t>
      </w:r>
      <w:proofErr w:type="spellEnd"/>
      <w:r w:rsidRPr="00685EA5">
        <w:rPr>
          <w:rFonts w:eastAsia="Times New Roman" w:cs="Calibri"/>
          <w:color w:val="222222"/>
          <w:szCs w:val="21"/>
          <w:shd w:val="clear" w:color="auto" w:fill="FFFFFF"/>
        </w:rPr>
        <w:t xml:space="preserve"> and </w:t>
      </w:r>
      <w:proofErr w:type="spellStart"/>
      <w:r w:rsidRPr="00685EA5">
        <w:rPr>
          <w:rFonts w:eastAsia="Times New Roman" w:cs="Calibri"/>
          <w:color w:val="222222"/>
          <w:szCs w:val="21"/>
          <w:shd w:val="clear" w:color="auto" w:fill="FFFFFF"/>
        </w:rPr>
        <w:t>cruentaren</w:t>
      </w:r>
      <w:proofErr w:type="spellEnd"/>
      <w:r w:rsidRPr="00685EA5">
        <w:rPr>
          <w:rFonts w:eastAsia="Times New Roman" w:cs="Calibri"/>
          <w:color w:val="222222"/>
          <w:szCs w:val="21"/>
          <w:shd w:val="clear" w:color="auto" w:fill="FFFFFF"/>
        </w:rPr>
        <w:t xml:space="preserve"> A, small molecules have been discovered that can segregate these opposing properties and provide a platform for modern drug discovery efforts aimed at treating these diseases. The development of anti-cancer agents, neuroprotective agents, and anti-glaucoma treatments will be discussed and will highlight the polarizing role played by Hsp90 in various disease states.</w:t>
      </w:r>
    </w:p>
    <w:p w:rsidR="008C424A" w:rsidRPr="00685EA5" w:rsidRDefault="008C424A" w:rsidP="008C424A">
      <w:pPr>
        <w:rPr>
          <w:szCs w:val="21"/>
        </w:rPr>
      </w:pPr>
    </w:p>
    <w:p w:rsidR="008C424A" w:rsidRDefault="008C424A" w:rsidP="008C424A">
      <w:pPr>
        <w:rPr>
          <w:szCs w:val="21"/>
        </w:rPr>
      </w:pPr>
    </w:p>
    <w:p w:rsidR="008C424A" w:rsidRDefault="008C424A" w:rsidP="008C424A">
      <w:pPr>
        <w:rPr>
          <w:szCs w:val="21"/>
        </w:rPr>
      </w:pPr>
    </w:p>
    <w:p w:rsidR="008C424A" w:rsidRDefault="008C424A" w:rsidP="008C424A">
      <w:pPr>
        <w:rPr>
          <w:szCs w:val="21"/>
        </w:rPr>
      </w:pPr>
    </w:p>
    <w:p w:rsidR="008C424A" w:rsidRDefault="008C424A" w:rsidP="008C424A">
      <w:pPr>
        <w:rPr>
          <w:szCs w:val="21"/>
        </w:rPr>
      </w:pPr>
    </w:p>
    <w:p w:rsidR="008C424A" w:rsidRDefault="008C424A" w:rsidP="008C424A">
      <w:pPr>
        <w:rPr>
          <w:szCs w:val="21"/>
        </w:rPr>
      </w:pPr>
    </w:p>
    <w:p w:rsidR="008C424A" w:rsidRDefault="008C424A" w:rsidP="008C424A">
      <w:pPr>
        <w:rPr>
          <w:szCs w:val="21"/>
        </w:rPr>
      </w:pPr>
    </w:p>
    <w:p w:rsidR="008C424A" w:rsidRDefault="008C424A" w:rsidP="008C424A">
      <w:pPr>
        <w:rPr>
          <w:rFonts w:hint="eastAsia"/>
          <w:szCs w:val="21"/>
        </w:rPr>
      </w:pPr>
      <w:bookmarkStart w:id="0" w:name="_GoBack"/>
      <w:bookmarkEnd w:id="0"/>
    </w:p>
    <w:p w:rsidR="008C424A" w:rsidRPr="00685EA5" w:rsidRDefault="008C424A" w:rsidP="008C424A">
      <w:pPr>
        <w:rPr>
          <w:rFonts w:hint="eastAsia"/>
          <w:szCs w:val="21"/>
        </w:rPr>
      </w:pPr>
    </w:p>
    <w:p w:rsidR="008C424A" w:rsidRPr="00685EA5" w:rsidRDefault="008C424A" w:rsidP="008C424A">
      <w:pPr>
        <w:rPr>
          <w:rFonts w:eastAsia="Times New Roman"/>
          <w:b/>
          <w:szCs w:val="21"/>
        </w:rPr>
      </w:pPr>
      <w:r w:rsidRPr="00685EA5">
        <w:rPr>
          <w:noProof/>
          <w:szCs w:val="21"/>
          <w:lang w:bidi="ar-SA"/>
        </w:rPr>
        <w:lastRenderedPageBreak/>
        <w:drawing>
          <wp:anchor distT="0" distB="0" distL="114300" distR="114300" simplePos="0" relativeHeight="251660288" behindDoc="0" locked="0" layoutInCell="1" allowOverlap="1">
            <wp:simplePos x="0" y="0"/>
            <wp:positionH relativeFrom="column">
              <wp:align>right</wp:align>
            </wp:positionH>
            <wp:positionV relativeFrom="paragraph">
              <wp:posOffset>-5715</wp:posOffset>
            </wp:positionV>
            <wp:extent cx="1315720" cy="1819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t="3889" b="1006"/>
                    <a:stretch>
                      <a:fillRect/>
                    </a:stretch>
                  </pic:blipFill>
                  <pic:spPr bwMode="auto">
                    <a:xfrm>
                      <a:off x="0" y="0"/>
                      <a:ext cx="131572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EA5">
        <w:rPr>
          <w:rFonts w:eastAsia="Times New Roman"/>
          <w:b/>
          <w:szCs w:val="21"/>
        </w:rPr>
        <w:t>Courtney C. Aldrich, Ph.D.</w:t>
      </w:r>
      <w:r w:rsidRPr="00685EA5">
        <w:rPr>
          <w:rFonts w:eastAsia="Times New Roman"/>
          <w:b/>
          <w:noProof/>
          <w:szCs w:val="21"/>
        </w:rPr>
        <w:t xml:space="preserve"> </w:t>
      </w:r>
    </w:p>
    <w:p w:rsidR="008C424A" w:rsidRPr="00685EA5" w:rsidRDefault="008C424A" w:rsidP="008C424A">
      <w:pPr>
        <w:rPr>
          <w:rFonts w:eastAsia="Times New Roman"/>
          <w:szCs w:val="21"/>
        </w:rPr>
      </w:pPr>
      <w:r w:rsidRPr="00685EA5">
        <w:rPr>
          <w:rFonts w:eastAsia="Times New Roman"/>
          <w:szCs w:val="21"/>
        </w:rPr>
        <w:t>Professor of Medicinal Chemistry</w:t>
      </w:r>
    </w:p>
    <w:p w:rsidR="008C424A" w:rsidRPr="00685EA5" w:rsidRDefault="008C424A" w:rsidP="008C424A">
      <w:pPr>
        <w:rPr>
          <w:rFonts w:eastAsia="Times New Roman"/>
          <w:szCs w:val="21"/>
        </w:rPr>
      </w:pPr>
      <w:r w:rsidRPr="00685EA5">
        <w:rPr>
          <w:rFonts w:eastAsia="Times New Roman"/>
          <w:szCs w:val="21"/>
        </w:rPr>
        <w:t>College of Pharmacy</w:t>
      </w:r>
    </w:p>
    <w:p w:rsidR="008C424A" w:rsidRPr="00685EA5" w:rsidRDefault="008C424A" w:rsidP="008C424A">
      <w:pPr>
        <w:rPr>
          <w:rFonts w:eastAsia="Times New Roman"/>
          <w:szCs w:val="21"/>
        </w:rPr>
      </w:pPr>
      <w:r w:rsidRPr="00685EA5">
        <w:rPr>
          <w:rFonts w:eastAsia="Times New Roman"/>
          <w:szCs w:val="21"/>
        </w:rPr>
        <w:t>University of Minnesota</w:t>
      </w:r>
    </w:p>
    <w:p w:rsidR="008C424A" w:rsidRPr="00685EA5" w:rsidRDefault="008C424A" w:rsidP="008C424A">
      <w:pPr>
        <w:rPr>
          <w:szCs w:val="21"/>
        </w:rPr>
      </w:pPr>
      <w:r w:rsidRPr="000B40DB">
        <w:rPr>
          <w:szCs w:val="21"/>
        </w:rPr>
        <w:t>E</w:t>
      </w:r>
      <w:r w:rsidRPr="00685EA5">
        <w:rPr>
          <w:rFonts w:eastAsia="Times New Roman"/>
          <w:szCs w:val="21"/>
        </w:rPr>
        <w:t xml:space="preserve">ditor-in-chief of </w:t>
      </w:r>
      <w:r w:rsidRPr="00685EA5">
        <w:rPr>
          <w:rFonts w:eastAsia="Times New Roman"/>
          <w:i/>
          <w:szCs w:val="21"/>
        </w:rPr>
        <w:t>ACS Infectious Diseases</w:t>
      </w:r>
    </w:p>
    <w:p w:rsidR="008C424A" w:rsidRPr="00685EA5" w:rsidRDefault="008C424A" w:rsidP="008C424A">
      <w:pPr>
        <w:rPr>
          <w:szCs w:val="21"/>
        </w:rPr>
      </w:pPr>
    </w:p>
    <w:p w:rsidR="008C424A" w:rsidRPr="00685EA5" w:rsidRDefault="008C424A" w:rsidP="008C424A">
      <w:pPr>
        <w:rPr>
          <w:szCs w:val="21"/>
        </w:rPr>
      </w:pPr>
    </w:p>
    <w:p w:rsidR="008C424A" w:rsidRPr="00685EA5" w:rsidRDefault="008C424A" w:rsidP="008C424A">
      <w:pPr>
        <w:rPr>
          <w:szCs w:val="21"/>
        </w:rPr>
      </w:pPr>
    </w:p>
    <w:p w:rsidR="008C424A" w:rsidRPr="00685EA5" w:rsidRDefault="008C424A" w:rsidP="008C424A">
      <w:pPr>
        <w:rPr>
          <w:szCs w:val="21"/>
        </w:rPr>
      </w:pPr>
    </w:p>
    <w:p w:rsidR="008C424A" w:rsidRPr="00685EA5" w:rsidRDefault="008C424A" w:rsidP="008C424A">
      <w:pPr>
        <w:rPr>
          <w:szCs w:val="21"/>
        </w:rPr>
      </w:pPr>
    </w:p>
    <w:p w:rsidR="008C424A" w:rsidRPr="00685EA5" w:rsidRDefault="008C424A" w:rsidP="008C424A">
      <w:pPr>
        <w:rPr>
          <w:rFonts w:eastAsia="Times New Roman"/>
          <w:szCs w:val="21"/>
        </w:rPr>
      </w:pPr>
      <w:r w:rsidRPr="00685EA5">
        <w:rPr>
          <w:rFonts w:eastAsia="Times New Roman"/>
          <w:szCs w:val="21"/>
        </w:rPr>
        <w:t xml:space="preserve">Dr. Courtney Aldrich is a Professor in the Department of Medicinal Chemistry in the College of Pharmacy at the University of Minnesota and was a Visiting Professor at the Institute of Materia </w:t>
      </w:r>
      <w:proofErr w:type="spellStart"/>
      <w:r w:rsidRPr="00685EA5">
        <w:rPr>
          <w:rFonts w:eastAsia="Times New Roman"/>
          <w:szCs w:val="21"/>
        </w:rPr>
        <w:t>Medica</w:t>
      </w:r>
      <w:proofErr w:type="spellEnd"/>
      <w:r w:rsidRPr="00685EA5">
        <w:rPr>
          <w:rFonts w:eastAsia="Times New Roman"/>
          <w:szCs w:val="21"/>
        </w:rPr>
        <w:t xml:space="preserve">, Peking Union Medical College &amp; Chinese Academy of Medical Sciences from 10.2015 to 10.2018. He is the editor-in-chief of </w:t>
      </w:r>
      <w:r w:rsidRPr="00685EA5">
        <w:rPr>
          <w:rFonts w:eastAsia="Times New Roman"/>
          <w:i/>
          <w:szCs w:val="21"/>
        </w:rPr>
        <w:t xml:space="preserve">ACS Infectious Diseases </w:t>
      </w:r>
      <w:r w:rsidRPr="00685EA5">
        <w:rPr>
          <w:rFonts w:eastAsia="Times New Roman"/>
          <w:szCs w:val="21"/>
        </w:rPr>
        <w:t xml:space="preserve">(IF = 4.911), the first journal to highlight chemistry and its role in the multidisciplinary and collaborative field of infectious disease research. His research focuses on the design of new antibiotics for multidrug-resistant bacteria and natural product biosynthesis. Dr. Aldrich’s research has been supported by the National Institutes of Health, the Bill &amp; Melinda Gates Foundation, and the </w:t>
      </w:r>
      <w:proofErr w:type="spellStart"/>
      <w:r w:rsidRPr="00685EA5">
        <w:rPr>
          <w:rFonts w:eastAsia="Times New Roman"/>
          <w:szCs w:val="21"/>
        </w:rPr>
        <w:t>Tres</w:t>
      </w:r>
      <w:proofErr w:type="spellEnd"/>
      <w:r w:rsidRPr="00685EA5">
        <w:rPr>
          <w:rFonts w:eastAsia="Times New Roman"/>
          <w:szCs w:val="21"/>
        </w:rPr>
        <w:t xml:space="preserve"> Cantos Open Lab Foundation. As an educator, Dr. Aldrich teaches courses in both the graduate and professional programs on antimicrobial agents and has mentored more than 35 PhD students and postdoctoral fellows.</w:t>
      </w:r>
    </w:p>
    <w:p w:rsidR="008C424A" w:rsidRDefault="008C424A" w:rsidP="008C424A">
      <w:pPr>
        <w:rPr>
          <w:rFonts w:eastAsia="Times New Roman"/>
        </w:rPr>
      </w:pPr>
    </w:p>
    <w:p w:rsidR="008C424A" w:rsidRDefault="008C424A" w:rsidP="008C424A">
      <w:pPr>
        <w:rPr>
          <w:rFonts w:ascii="Arial" w:eastAsia="Times New Roman" w:hAnsi="Arial" w:cs="Arial"/>
          <w:sz w:val="22"/>
          <w:szCs w:val="22"/>
        </w:rPr>
      </w:pPr>
    </w:p>
    <w:p w:rsidR="00C7642D" w:rsidRPr="008C424A" w:rsidRDefault="00C7642D"/>
    <w:sectPr w:rsidR="00C7642D" w:rsidRPr="008C4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0B"/>
    <w:rsid w:val="008C424A"/>
    <w:rsid w:val="00C7642D"/>
    <w:rsid w:val="00E1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23B8-5305-435B-AFFF-10A62ED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4A"/>
    <w:pPr>
      <w:widowControl w:val="0"/>
      <w:jc w:val="both"/>
    </w:pPr>
    <w:rPr>
      <w:rFonts w:ascii="Times New Roman" w:eastAsia="宋体" w:hAnsi="Times New Roman" w:cs="Angsana New"/>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42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Company>Microsoft</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王毛妮</dc:creator>
  <cp:keywords/>
  <dc:description/>
  <cp:lastModifiedBy>王毛妮</cp:lastModifiedBy>
  <cp:revision>2</cp:revision>
  <dcterms:created xsi:type="dcterms:W3CDTF">2019-12-09T08:34:00Z</dcterms:created>
  <dcterms:modified xsi:type="dcterms:W3CDTF">2019-12-09T08:35:00Z</dcterms:modified>
</cp:coreProperties>
</file>