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：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科技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成果信息采集表</w:t>
      </w:r>
      <w:bookmarkEnd w:id="0"/>
    </w:p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单位：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3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3937"/>
        <w:gridCol w:w="127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  <w:lang w:eastAsia="zh-CN"/>
              </w:rPr>
              <w:t>科技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937" w:type="dxa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□专利技术成果 □登记鉴定成果 □软件著作权 □其他技术成果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区块链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大数据、云计算与边缘计算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物联网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未来网络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量子信息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集成电路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自动驾驶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智能制造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新材料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生物医药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高技术服务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  <w:lang w:eastAsia="zh-CN"/>
              </w:rPr>
              <w:t>核心专利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1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cs="仿宋_GB2312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成果阶段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rPr>
                <w:rFonts w:hint="eastAsia" w:ascii="宋体" w:hAnsi="宋体" w:cs="仿宋_GB2312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○研发阶段  ○小试阶段  ○中试阶段 ○已有样品/样机  ○可量产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841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成果简介</w:t>
            </w:r>
          </w:p>
        </w:tc>
        <w:tc>
          <w:tcPr>
            <w:tcW w:w="7765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重点描述该成果可解决的问题、先进性及主要技术指标、应用范围、配套条件等。字数600字以内</w:t>
            </w: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C1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</dc:creator>
  <cp:lastModifiedBy>kjc</cp:lastModifiedBy>
  <dcterms:modified xsi:type="dcterms:W3CDTF">2021-02-25T05:44:19Z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