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b/>
          <w:bCs/>
          <w:sz w:val="24"/>
          <w:szCs w:val="24"/>
        </w:rPr>
        <w:t>2</w:t>
      </w:r>
      <w:r>
        <w:rPr>
          <w:rFonts w:ascii="宋体" w:hAnsi="宋体" w:eastAsia="宋体"/>
          <w:b/>
          <w:bCs/>
          <w:sz w:val="24"/>
          <w:szCs w:val="24"/>
        </w:rPr>
        <w:t>024</w:t>
      </w:r>
      <w:r>
        <w:rPr>
          <w:rFonts w:hint="eastAsia" w:ascii="宋体" w:hAnsi="宋体" w:eastAsia="宋体"/>
          <w:b/>
          <w:bCs/>
          <w:sz w:val="24"/>
          <w:szCs w:val="24"/>
        </w:rPr>
        <w:t>年度南京中医药大学社科基金培育项目选题指南</w:t>
      </w:r>
    </w:p>
    <w:bookmarkEnd w:id="0"/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中医药传承创新发展研究</w:t>
      </w:r>
    </w:p>
    <w:p>
      <w:pPr>
        <w:spacing w:line="360" w:lineRule="auto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包括但不限于以下方面：中医药经典文献整理与挖掘；习总书记中医药振兴发展重要论述（或其他论述）研究；中医流派研究；中医药融合发展研究；中医文化传承及发展研究；医著医家研究；疾病史研究；医药知识图谱研究；涉医语言研究；医学伦理研究；中医药专利及传统知识保护等法律问题研究；中医药与人工智能结合研究；医学哲学研究；中医药与中国式现代化研究；“双碳”目标下长三角中医药特色产业资源开发与利用研究；中医药资源旅游开发价值研究；中药资源普查背景下中药资源调查与利用研究；中医药特色产业服务研究；新质生产力对中医药事业发展影响研究等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2.</w:t>
      </w:r>
      <w:r>
        <w:rPr>
          <w:rFonts w:hint="eastAsia" w:ascii="宋体" w:hAnsi="宋体" w:eastAsia="宋体"/>
          <w:b/>
          <w:bCs/>
          <w:sz w:val="24"/>
          <w:szCs w:val="24"/>
        </w:rPr>
        <w:t>健康管理与医药政策研究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包括但不限于以下方面：深化医改背景下医保、医疗与医药发展问题研究；健康中国研究；突发公共卫生事件中医药应对体系构建研究；中医药特色医保支付方式研究；医养结合模式研究；公立医院改革和评价研究；基于大数据的医疗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卫生问题研究；人工智能与医疗数据结合的法制法规研究；基层和社区卫生服务研究等。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各类人群健康状况研究；健康风险监测与预警机制研究；基于大数据的健康管理研究；医体结合与体育健康研究；医患关系研究等。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养老服务与管理研究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包括但不限于以下方面：养老等问题的宏观与中观、微观问题研究；人口均衡发展研究；人口老龄化引发的社会问题研究；养老服务研究；失能老人照护研究；适老科技研究等。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MDkwMWQyOTgxZWZlNWFmOTMwMmEyNjViMzk3MzgifQ=="/>
  </w:docVars>
  <w:rsids>
    <w:rsidRoot w:val="107437FD"/>
    <w:rsid w:val="107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2024-06-14T02:20:00Z</dcterms:created>
  <dc:creator>睡个好觉</dc:creator>
  <cp:lastModifiedBy>睡个好觉</cp:lastModifiedBy>
  <dcterms:modified xsi:type="dcterms:W3CDTF">2024-06-14T02:21:09Z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E40250FF835C4BFF9A0418CDB15B15AD_11</vt:lpwstr>
  </property>
</Properties>
</file>