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B4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20" w:lineRule="atLeast"/>
        <w:ind w:left="0" w:right="0" w:firstLine="0"/>
        <w:jc w:val="left"/>
        <w:rPr>
          <w:rFonts w:hint="eastAsia" w:ascii="方正公文小标宋" w:hAnsi="方正公文小标宋" w:eastAsia="方正公文小标宋" w:cs="方正公文小标宋"/>
          <w:b w:val="0"/>
          <w:bCs w:val="0"/>
          <w:i w:val="0"/>
          <w:iCs w:val="0"/>
          <w:caps w:val="0"/>
          <w:color w:val="333333"/>
          <w:spacing w:val="0"/>
          <w:sz w:val="28"/>
          <w:szCs w:val="28"/>
          <w:bdr w:val="none" w:color="auto" w:sz="0" w:space="0"/>
          <w:shd w:val="clear" w:fill="FFFFFF"/>
        </w:rPr>
      </w:pPr>
      <w:r>
        <w:rPr>
          <w:rFonts w:hint="eastAsia" w:ascii="方正公文小标宋" w:hAnsi="方正公文小标宋" w:eastAsia="方正公文小标宋" w:cs="方正公文小标宋"/>
          <w:b w:val="0"/>
          <w:bCs w:val="0"/>
          <w:i w:val="0"/>
          <w:iCs w:val="0"/>
          <w:caps w:val="0"/>
          <w:color w:val="333333"/>
          <w:spacing w:val="0"/>
          <w:sz w:val="28"/>
          <w:szCs w:val="28"/>
          <w:bdr w:val="none" w:color="auto" w:sz="0" w:space="0"/>
          <w:shd w:val="clear" w:fill="FFFFFF"/>
        </w:rPr>
        <w:t>https://www.cnipa.gov.cn/art/2024/2/1/art_552_190098.html</w:t>
      </w:r>
    </w:p>
    <w:p w14:paraId="3FF5A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20" w:lineRule="atLeast"/>
        <w:ind w:left="0" w:right="0" w:firstLine="0"/>
        <w:jc w:val="center"/>
        <w:rPr>
          <w:rFonts w:hint="eastAsia" w:ascii="方正公文小标宋" w:hAnsi="方正公文小标宋" w:eastAsia="方正公文小标宋" w:cs="方正公文小标宋"/>
          <w:i w:val="0"/>
          <w:iCs w:val="0"/>
          <w:caps w:val="0"/>
          <w:color w:val="333333"/>
          <w:spacing w:val="0"/>
          <w:sz w:val="32"/>
          <w:szCs w:val="32"/>
        </w:rPr>
      </w:pPr>
      <w:r>
        <w:rPr>
          <w:rFonts w:hint="eastAsia" w:ascii="方正公文小标宋" w:hAnsi="方正公文小标宋" w:eastAsia="方正公文小标宋" w:cs="方正公文小标宋"/>
          <w:i w:val="0"/>
          <w:iCs w:val="0"/>
          <w:caps w:val="0"/>
          <w:color w:val="333333"/>
          <w:spacing w:val="0"/>
          <w:sz w:val="32"/>
          <w:szCs w:val="32"/>
          <w:bdr w:val="none" w:color="auto" w:sz="0" w:space="0"/>
          <w:shd w:val="clear" w:fill="FFFFFF"/>
        </w:rPr>
        <w:t>中国专利奖评奖办法（2023年修订）</w:t>
      </w:r>
    </w:p>
    <w:p w14:paraId="522D19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第一条  </w:t>
      </w:r>
      <w:r>
        <w:rPr>
          <w:rFonts w:hint="eastAsia" w:ascii="宋体" w:hAnsi="宋体" w:eastAsia="宋体" w:cs="宋体"/>
          <w:i w:val="0"/>
          <w:iCs w:val="0"/>
          <w:caps w:val="0"/>
          <w:color w:val="333333"/>
          <w:spacing w:val="0"/>
          <w:sz w:val="28"/>
          <w:szCs w:val="28"/>
          <w:bdr w:val="none" w:color="auto" w:sz="0" w:space="0"/>
          <w:shd w:val="clear" w:fill="FFFFFF"/>
        </w:rPr>
        <w:t>评奖宗旨</w:t>
      </w:r>
      <w:bookmarkStart w:id="0" w:name="_GoBack"/>
      <w:bookmarkEnd w:id="0"/>
    </w:p>
    <w:p w14:paraId="6F94AA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引导和推进知识产权工作对供给侧结构性改革、创新型国家建设、经济高质量发展发挥重要作用；鼓励和表彰专利权人和发明人（设计人）对技术（设计）创新及经济社会发展作出的突出贡献。</w:t>
      </w:r>
    </w:p>
    <w:p w14:paraId="2E19D2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第二条  </w:t>
      </w:r>
      <w:r>
        <w:rPr>
          <w:rFonts w:hint="eastAsia" w:ascii="宋体" w:hAnsi="宋体" w:eastAsia="宋体" w:cs="宋体"/>
          <w:i w:val="0"/>
          <w:iCs w:val="0"/>
          <w:caps w:val="0"/>
          <w:color w:val="333333"/>
          <w:spacing w:val="0"/>
          <w:sz w:val="28"/>
          <w:szCs w:val="28"/>
          <w:bdr w:val="none" w:color="auto" w:sz="0" w:space="0"/>
          <w:shd w:val="clear" w:fill="FFFFFF"/>
        </w:rPr>
        <w:t>评奖周期</w:t>
      </w:r>
    </w:p>
    <w:p w14:paraId="47C8DB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国家知识产权局与世界知识产权组织共同开展中国专利奖评选工作，每年举办一届。</w:t>
      </w:r>
    </w:p>
    <w:p w14:paraId="6CBB5A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第三条  </w:t>
      </w:r>
      <w:r>
        <w:rPr>
          <w:rFonts w:hint="eastAsia" w:ascii="宋体" w:hAnsi="宋体" w:eastAsia="宋体" w:cs="宋体"/>
          <w:i w:val="0"/>
          <w:iCs w:val="0"/>
          <w:caps w:val="0"/>
          <w:color w:val="333333"/>
          <w:spacing w:val="0"/>
          <w:sz w:val="28"/>
          <w:szCs w:val="28"/>
          <w:bdr w:val="none" w:color="auto" w:sz="0" w:space="0"/>
          <w:shd w:val="clear" w:fill="FFFFFF"/>
        </w:rPr>
        <w:t>奖项设置</w:t>
      </w:r>
    </w:p>
    <w:p w14:paraId="4BB8EF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中国专利奖设中国专利金奖、中国专利银奖、中国专利优秀奖、中国外观设计金奖、中国外观设计银奖、中国外观设计优秀奖。</w:t>
      </w:r>
    </w:p>
    <w:p w14:paraId="3D540A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国专利金奖、中国专利银奖及中国专利优秀奖从发明专利和实用新型专利中评选产生，评出中国专利金奖不超过30项、中国专利银奖不超过60项。中国外观设计金奖、中国外观设计银奖及中国外观设计优秀奖从外观设计专利中评选产生，评出中国外观设计金奖不超过10项、中国外观设计银奖不超过15项。中国专利优秀奖、中国外观设计优秀奖的获奖比例均不超过各类合格项目数的30%。</w:t>
      </w:r>
    </w:p>
    <w:p w14:paraId="52D041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第四条  </w:t>
      </w:r>
      <w:r>
        <w:rPr>
          <w:rFonts w:hint="eastAsia" w:ascii="宋体" w:hAnsi="宋体" w:eastAsia="宋体" w:cs="宋体"/>
          <w:i w:val="0"/>
          <w:iCs w:val="0"/>
          <w:caps w:val="0"/>
          <w:color w:val="333333"/>
          <w:spacing w:val="0"/>
          <w:sz w:val="28"/>
          <w:szCs w:val="28"/>
          <w:bdr w:val="none" w:color="auto" w:sz="0" w:space="0"/>
          <w:shd w:val="clear" w:fill="FFFFFF"/>
        </w:rPr>
        <w:t>评审组织</w:t>
      </w:r>
    </w:p>
    <w:p w14:paraId="0DCE94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国家知识产权局设立中国专利奖评审委员会（以下简称评审委员会），国家知识产权局会同世界知识产权组织开展中国专利奖的评审、批准和授奖等有关工作。评审委员会下设评审办公室，负责日常组织协调工作。</w:t>
      </w:r>
    </w:p>
    <w:p w14:paraId="392E1F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第五条  </w:t>
      </w:r>
      <w:r>
        <w:rPr>
          <w:rFonts w:hint="eastAsia" w:ascii="宋体" w:hAnsi="宋体" w:eastAsia="宋体" w:cs="宋体"/>
          <w:i w:val="0"/>
          <w:iCs w:val="0"/>
          <w:caps w:val="0"/>
          <w:color w:val="333333"/>
          <w:spacing w:val="0"/>
          <w:sz w:val="28"/>
          <w:szCs w:val="28"/>
          <w:bdr w:val="none" w:color="auto" w:sz="0" w:space="0"/>
          <w:shd w:val="clear" w:fill="FFFFFF"/>
        </w:rPr>
        <w:t>评价指标及权重</w:t>
      </w:r>
    </w:p>
    <w:p w14:paraId="4D0D69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（一）发明专利、实用新型专利</w:t>
      </w:r>
    </w:p>
    <w:p w14:paraId="35BFC7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专利质量（25%）。评价：新颖性、创造性、实用性；文本质量。</w:t>
      </w:r>
    </w:p>
    <w:p w14:paraId="1F13A9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技术先进性（25%）。评价：原创性及重要性；相比当前同类技术的优缺点；专利技术的通用性。</w:t>
      </w:r>
    </w:p>
    <w:p w14:paraId="5EEDBD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3.运用及保护措施和成效（35%）。评价：专利运用及保护措施；经济效益及市场份额。</w:t>
      </w:r>
    </w:p>
    <w:p w14:paraId="28E0F8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 社会效益及发展前景（15%）。评价：社会效益；行业影响力；政策适应性。</w:t>
      </w:r>
    </w:p>
    <w:p w14:paraId="78AB28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（二）外观设计专利</w:t>
      </w:r>
    </w:p>
    <w:p w14:paraId="725268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 专利质量（25%）。评价：创新性和工业适用性；文本质量。</w:t>
      </w:r>
    </w:p>
    <w:p w14:paraId="77B2C7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 设计要点及理念的表达（25%）。评价：设计要点独特性；艺术性及象征性；功能性。</w:t>
      </w:r>
    </w:p>
    <w:p w14:paraId="56B1B6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 运用及保护措施和成效（35%）。评价：专利运用及保护措施；经济效益及市场份额。</w:t>
      </w:r>
    </w:p>
    <w:p w14:paraId="42ED3D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 社会效益及发展前景（15%）。评价：社会效益；发展前景。</w:t>
      </w:r>
    </w:p>
    <w:p w14:paraId="6BE456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第六条  </w:t>
      </w:r>
      <w:r>
        <w:rPr>
          <w:rFonts w:hint="eastAsia" w:ascii="宋体" w:hAnsi="宋体" w:eastAsia="宋体" w:cs="宋体"/>
          <w:i w:val="0"/>
          <w:iCs w:val="0"/>
          <w:caps w:val="0"/>
          <w:color w:val="333333"/>
          <w:spacing w:val="0"/>
          <w:sz w:val="28"/>
          <w:szCs w:val="28"/>
          <w:bdr w:val="none" w:color="auto" w:sz="0" w:space="0"/>
          <w:shd w:val="clear" w:fill="FFFFFF"/>
        </w:rPr>
        <w:t>推荐及评审程序</w:t>
      </w:r>
    </w:p>
    <w:p w14:paraId="34EEF1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（一）中国专利奖参评项目采用推荐方式，由地方知识产权局、国务院有关部门和单位知识产权工作管理机构、全国性行业协会、中国科学院院士和中国工程院院士等根据当年评选通知要求择优推荐。</w:t>
      </w:r>
    </w:p>
    <w:p w14:paraId="33F5AA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（二）评审办公室负责对推荐项目进行初审，并组织开展有关初评工作。</w:t>
      </w:r>
    </w:p>
    <w:p w14:paraId="325891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（三）评审办公室根据初评情况，提出预获奖项目名单，报评审委员会。</w:t>
      </w:r>
    </w:p>
    <w:p w14:paraId="552FBB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（四）评审委员会对预获奖项目名单进行审定，确定获奖项目及其奖励等级。</w:t>
      </w:r>
    </w:p>
    <w:p w14:paraId="036598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（五）评审办公室在国家知识产权局政府门户网站公示评选结果。</w:t>
      </w:r>
    </w:p>
    <w:p w14:paraId="0E53B0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第七条  </w:t>
      </w:r>
      <w:r>
        <w:rPr>
          <w:rFonts w:hint="eastAsia" w:ascii="宋体" w:hAnsi="宋体" w:eastAsia="宋体" w:cs="宋体"/>
          <w:i w:val="0"/>
          <w:iCs w:val="0"/>
          <w:caps w:val="0"/>
          <w:color w:val="333333"/>
          <w:spacing w:val="0"/>
          <w:sz w:val="28"/>
          <w:szCs w:val="28"/>
          <w:bdr w:val="none" w:color="auto" w:sz="0" w:space="0"/>
          <w:shd w:val="clear" w:fill="FFFFFF"/>
        </w:rPr>
        <w:t>异议处理</w:t>
      </w:r>
    </w:p>
    <w:p w14:paraId="043D58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（一）中国专利奖评选工作接受社会监督，社会公众对公示项目有异议的，可在规定时间内向评审办公室提出。</w:t>
      </w:r>
    </w:p>
    <w:p w14:paraId="53951E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（二）评审办公室接收异议材料，成立异议处理小组，对异议的具体情况进行分析，形成异议分析材料及处理意见并向评审委员会报告，经评审委员会决定后，将处理意见通知异议方和项目申报人、推荐单位。</w:t>
      </w:r>
    </w:p>
    <w:p w14:paraId="60C5F2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（三）参与异议处理的有关人员对异议者的身份及有关异议信息予以保密。</w:t>
      </w:r>
    </w:p>
    <w:p w14:paraId="30F612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第八条  </w:t>
      </w:r>
      <w:r>
        <w:rPr>
          <w:rFonts w:hint="eastAsia" w:ascii="宋体" w:hAnsi="宋体" w:eastAsia="宋体" w:cs="宋体"/>
          <w:i w:val="0"/>
          <w:iCs w:val="0"/>
          <w:caps w:val="0"/>
          <w:color w:val="333333"/>
          <w:spacing w:val="0"/>
          <w:sz w:val="28"/>
          <w:szCs w:val="28"/>
          <w:bdr w:val="none" w:color="auto" w:sz="0" w:space="0"/>
          <w:shd w:val="clear" w:fill="FFFFFF"/>
        </w:rPr>
        <w:t>授  奖</w:t>
      </w:r>
    </w:p>
    <w:p w14:paraId="54231A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14:paraId="38DC6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国家知识产权局会同世界知识产权组织召开会议，共同表彰有关获奖的发明人（设计人）及专利权人。</w:t>
      </w:r>
    </w:p>
    <w:p w14:paraId="7735D8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国家知识产权局通过电视、网络、报刊等媒体公布获奖结果。</w:t>
      </w:r>
    </w:p>
    <w:p w14:paraId="46AB00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第九条  </w:t>
      </w:r>
      <w:r>
        <w:rPr>
          <w:rFonts w:hint="eastAsia" w:ascii="宋体" w:hAnsi="宋体" w:eastAsia="宋体" w:cs="宋体"/>
          <w:i w:val="0"/>
          <w:iCs w:val="0"/>
          <w:caps w:val="0"/>
          <w:color w:val="333333"/>
          <w:spacing w:val="0"/>
          <w:sz w:val="28"/>
          <w:szCs w:val="28"/>
          <w:bdr w:val="none" w:color="auto" w:sz="0" w:space="0"/>
          <w:shd w:val="clear" w:fill="FFFFFF"/>
        </w:rPr>
        <w:t>撤  奖</w:t>
      </w:r>
    </w:p>
    <w:p w14:paraId="224664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对于获奖项目，若发现报送材料不实，且有证据证明不符合获奖条件的，由评审办公室提出撤销授奖的意见，经评审委员会批准，撤销授奖并追回奖牌和证书。</w:t>
      </w:r>
    </w:p>
    <w:p w14:paraId="42F673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若获奖项目的专利权被全部无效，授予该专利的中国专利奖伴随该权利宣告无效亦自动撤销。</w:t>
      </w:r>
    </w:p>
    <w:p w14:paraId="6B0D07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本办法由中国专利奖评审办公室负责解释。</w:t>
      </w:r>
    </w:p>
    <w:p w14:paraId="0E5CB9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本办法自印发之日起执行。《国家知识产权局办公室关于印发〈中国专利奖评奖办法〉的通知》（国知办发管字〔2018〕20号）同时废止。</w:t>
      </w:r>
    </w:p>
    <w:p w14:paraId="0466D2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E0C05699-B3A2-4E91-9030-97D27255B163}"/>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锐字逼格青春粗黑体简2.0">
    <w:panose1 w:val="02010604000000000000"/>
    <w:charset w:val="86"/>
    <w:family w:val="auto"/>
    <w:pitch w:val="default"/>
    <w:sig w:usb0="8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607CE"/>
    <w:rsid w:val="0F5D4BB2"/>
    <w:rsid w:val="18CD679F"/>
    <w:rsid w:val="1C360DD1"/>
    <w:rsid w:val="28B30A5B"/>
    <w:rsid w:val="482309F1"/>
    <w:rsid w:val="484373FA"/>
    <w:rsid w:val="58AA2BC8"/>
    <w:rsid w:val="755A16FB"/>
    <w:rsid w:val="7BBC087A"/>
    <w:rsid w:val="7E51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heme="minorAscii" w:hAnsiTheme="minorAscii"/>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样式2"/>
    <w:basedOn w:val="1"/>
    <w:next w:val="1"/>
    <w:qFormat/>
    <w:uiPriority w:val="0"/>
    <w:pPr>
      <w:keepNext/>
      <w:keepLines/>
      <w:spacing w:before="260" w:beforeLines="0" w:after="260" w:afterLines="0" w:line="413" w:lineRule="auto"/>
      <w:outlineLvl w:val="2"/>
    </w:pPr>
    <w:rPr>
      <w:rFonts w:hint="default" w:asciiTheme="minorAscii" w:hAnsiTheme="minorAscii"/>
      <w:b/>
      <w:sz w:val="28"/>
    </w:rPr>
  </w:style>
  <w:style w:type="paragraph" w:customStyle="1" w:styleId="9">
    <w:name w:val="样式4"/>
    <w:basedOn w:val="1"/>
    <w:next w:val="1"/>
    <w:qFormat/>
    <w:uiPriority w:val="0"/>
    <w:pPr>
      <w:keepNext/>
      <w:keepLines/>
      <w:adjustRightInd w:val="0"/>
      <w:snapToGrid w:val="0"/>
      <w:spacing w:beforeLines="0" w:afterLines="0" w:line="360" w:lineRule="auto"/>
      <w:outlineLvl w:val="2"/>
    </w:pPr>
    <w:rPr>
      <w:rFonts w:hint="default" w:asciiTheme="minorAscii" w:hAnsiTheme="minorAscii"/>
      <w:b/>
      <w:sz w:val="28"/>
    </w:rPr>
  </w:style>
  <w:style w:type="paragraph" w:customStyle="1" w:styleId="10">
    <w:name w:val="样式5"/>
    <w:basedOn w:val="1"/>
    <w:next w:val="1"/>
    <w:qFormat/>
    <w:uiPriority w:val="0"/>
    <w:pPr>
      <w:keepNext/>
      <w:keepLines/>
      <w:spacing w:beforeLines="0" w:afterLines="0" w:line="360" w:lineRule="auto"/>
      <w:outlineLvl w:val="2"/>
    </w:pPr>
    <w:rPr>
      <w:rFonts w:hint="default" w:asciiTheme="minorAscii" w:hAnsiTheme="minorAscii"/>
      <w:b/>
      <w:sz w:val="28"/>
      <w:szCs w:val="28"/>
    </w:rPr>
  </w:style>
  <w:style w:type="paragraph" w:customStyle="1" w:styleId="11">
    <w:name w:val="样式7"/>
    <w:basedOn w:val="1"/>
    <w:qFormat/>
    <w:uiPriority w:val="0"/>
    <w:pPr>
      <w:adjustRightInd w:val="0"/>
      <w:snapToGrid w:val="0"/>
      <w:spacing w:line="360" w:lineRule="auto"/>
    </w:pPr>
    <w:rPr>
      <w:rFonts w:hint="default" w:asciiTheme="minorAscii" w:hAnsiTheme="minorAscii"/>
      <w:sz w:val="32"/>
    </w:rPr>
  </w:style>
  <w:style w:type="paragraph" w:customStyle="1" w:styleId="12">
    <w:name w:val="样式8"/>
    <w:basedOn w:val="1"/>
    <w:next w:val="1"/>
    <w:qFormat/>
    <w:uiPriority w:val="0"/>
    <w:pPr>
      <w:keepNext/>
      <w:keepLines/>
      <w:spacing w:beforeLines="0" w:afterLines="0" w:line="360" w:lineRule="auto"/>
      <w:outlineLvl w:val="2"/>
    </w:pPr>
    <w:rPr>
      <w:rFonts w:hint="default" w:asciiTheme="minorAscii" w:hAnsiTheme="minorAscii"/>
      <w:b/>
      <w:sz w:val="32"/>
    </w:rPr>
  </w:style>
  <w:style w:type="paragraph" w:customStyle="1" w:styleId="13">
    <w:name w:val="样式9"/>
    <w:basedOn w:val="1"/>
    <w:next w:val="1"/>
    <w:qFormat/>
    <w:uiPriority w:val="0"/>
    <w:pPr>
      <w:keepNext/>
      <w:keepLines/>
      <w:spacing w:before="260" w:beforeLines="0" w:after="260" w:afterLines="0" w:line="413" w:lineRule="auto"/>
      <w:outlineLvl w:val="2"/>
    </w:pPr>
    <w:rPr>
      <w:rFonts w:hint="default" w:asciiTheme="minorAscii" w:hAnsiTheme="minorAscii"/>
      <w:b/>
      <w:sz w:val="32"/>
    </w:rPr>
  </w:style>
  <w:style w:type="paragraph" w:customStyle="1" w:styleId="14">
    <w:name w:val="样式10"/>
    <w:basedOn w:val="1"/>
    <w:next w:val="1"/>
    <w:qFormat/>
    <w:uiPriority w:val="0"/>
    <w:pPr>
      <w:keepNext/>
      <w:keepLines/>
      <w:adjustRightInd w:val="0"/>
      <w:snapToGrid w:val="0"/>
      <w:spacing w:beforeLines="0" w:afterLines="0" w:line="360" w:lineRule="auto"/>
      <w:outlineLvl w:val="2"/>
    </w:pPr>
    <w:rPr>
      <w:rFonts w:hint="default" w:asciiTheme="minorAscii" w:hAnsiTheme="minorAscii"/>
      <w:b/>
      <w:sz w:val="32"/>
    </w:rPr>
  </w:style>
  <w:style w:type="paragraph" w:customStyle="1" w:styleId="15">
    <w:name w:val="样式12"/>
    <w:basedOn w:val="1"/>
    <w:next w:val="1"/>
    <w:qFormat/>
    <w:uiPriority w:val="0"/>
    <w:pPr>
      <w:keepNext/>
      <w:keepLines/>
      <w:spacing w:before="340" w:beforeLines="0" w:after="330" w:afterLines="0" w:line="576" w:lineRule="auto"/>
      <w:jc w:val="center"/>
      <w:outlineLvl w:val="0"/>
    </w:pPr>
    <w:rPr>
      <w:rFonts w:hint="eastAsia" w:ascii="仿宋" w:hAnsi="仿宋" w:eastAsia="方正公文小标宋" w:cs="仿宋"/>
      <w:b/>
      <w:bCs/>
      <w:kern w:val="44"/>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科技处</dc:creator>
  <cp:lastModifiedBy>毛妮</cp:lastModifiedBy>
  <dcterms:modified xsi:type="dcterms:W3CDTF">2025-04-15T02:36:30Z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79C91FC9FB89443FA411328C9CDCC44A</vt:lpwstr>
  </property>
  <property fmtid="{D5CDD505-2E9C-101B-9397-08002B2CF9AE}" pid="4" name="KSOTemplateDocerSaveRecord">
    <vt:lpwstr>eyJoZGlkIjoiYzMyMzAyMmFlNmUzYWZmYzA3OTFjNDEwY2RmY2E2YjkiLCJ1c2VySWQiOiI5OTc0OTA5MDMifQ==</vt:lpwstr>
  </property>
</Properties>
</file>