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9" w:rsidRPr="003F51B9" w:rsidRDefault="003F51B9" w:rsidP="003F51B9">
      <w:pPr>
        <w:widowControl/>
        <w:spacing w:beforeLines="50" w:line="400" w:lineRule="exact"/>
        <w:ind w:firstLineChars="98" w:firstLine="235"/>
        <w:jc w:val="left"/>
        <w:rPr>
          <w:rFonts w:ascii="Times New Roman" w:eastAsia="宋体" w:hAnsi="Times New Roman" w:cs="宋体" w:hint="eastAsia"/>
          <w:kern w:val="0"/>
          <w:sz w:val="24"/>
          <w:szCs w:val="24"/>
        </w:rPr>
      </w:pPr>
      <w:r w:rsidRPr="003F51B9">
        <w:rPr>
          <w:rFonts w:ascii="Times New Roman" w:eastAsia="宋体" w:hAnsi="Times New Roman" w:cs="宋体" w:hint="eastAsia"/>
          <w:kern w:val="0"/>
          <w:sz w:val="24"/>
          <w:szCs w:val="24"/>
        </w:rPr>
        <w:t>附件：</w:t>
      </w:r>
    </w:p>
    <w:p w:rsidR="007A5C7D" w:rsidRPr="00F55659" w:rsidRDefault="007A5C7D" w:rsidP="003F51B9">
      <w:pPr>
        <w:widowControl/>
        <w:spacing w:beforeLines="50" w:line="400" w:lineRule="exact"/>
        <w:ind w:firstLineChars="98" w:firstLine="23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5659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江苏省中药药效与安全性评价重点实验室</w:t>
      </w:r>
      <w:bookmarkStart w:id="0" w:name="_GoBack"/>
      <w:bookmarkEnd w:id="0"/>
    </w:p>
    <w:p w:rsidR="00CA546F" w:rsidRPr="00F55659" w:rsidRDefault="007A5C7D" w:rsidP="001C7B55">
      <w:pPr>
        <w:widowControl/>
        <w:spacing w:line="400" w:lineRule="exact"/>
        <w:ind w:firstLineChars="98" w:firstLine="236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F55659">
        <w:rPr>
          <w:rFonts w:ascii="宋体" w:eastAsia="宋体" w:hAnsi="宋体" w:cs="宋体"/>
          <w:b/>
          <w:kern w:val="0"/>
          <w:sz w:val="24"/>
          <w:szCs w:val="24"/>
        </w:rPr>
        <w:t>201</w:t>
      </w:r>
      <w:r w:rsidRPr="00F55659">
        <w:rPr>
          <w:rFonts w:ascii="宋体" w:eastAsia="宋体" w:hAnsi="宋体" w:cs="宋体" w:hint="eastAsia"/>
          <w:b/>
          <w:kern w:val="0"/>
          <w:sz w:val="24"/>
          <w:szCs w:val="24"/>
        </w:rPr>
        <w:t>8年度开放课题资助项目名单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2820"/>
        <w:gridCol w:w="992"/>
        <w:gridCol w:w="1573"/>
        <w:gridCol w:w="1120"/>
      </w:tblGrid>
      <w:tr w:rsidR="00766DD4" w:rsidRPr="001C7B55" w:rsidTr="00766DD4">
        <w:trPr>
          <w:trHeight w:val="276"/>
          <w:tblHeader/>
        </w:trPr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C7B55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C7B55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C7B55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C7B55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C7B55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资助金额（万）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JKLPSE201801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FXR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介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导肝脏修复机制与补骨脂毒性物质基础研究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沈旭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 w:rsidRPr="00766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医学与生命科学学院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JKLPSE201802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穿心莲内酯诱导线粒体自噬调控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NLRP3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炎症小体活化的分子机制研究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孙洋</w:t>
            </w:r>
            <w:proofErr w:type="gramEnd"/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JKLPSE201803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UGT1A1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介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导的中药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药物相互作用评价体系的构建及应用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葛广波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JKLPSE201804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Ferroptosis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信号通路研究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蒿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甲醚抗肝纤维化作用及其分子机制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郑仕中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JKLPSE201805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复合纳米荧光探针评价中药抗肿瘤血管生成研究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朱栋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JKLPSE201806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基于斑马鱼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PDX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模型的结直肠癌中药精准治疗方法建立与应用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陈玉根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66DD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南京中医药大学附属医院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JKLPSE201807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KDM6A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介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导的糖代谢重编程探讨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五淋散干预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膀胱癌细胞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对顺铂耐药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的分子机制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隋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新兵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杭州师范学院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JKLPSE201808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辛味中药挥发油透皮吸收促进剂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“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药辅合一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”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作用及其分子机制研究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陈军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JKLPSE201809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基于肠道菌群与脂代谢的相关性探讨六味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地黄方抗更年期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的作用机制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卞慧敏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JKLPSE201810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基于炎症小体的特异质型肝损伤中药体外评价方法的研究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许立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JKLPSE201811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积雪草抗溃疡性结肠炎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的效应成分羟基积雪草酸激活</w:t>
            </w:r>
            <w:proofErr w:type="spell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PPARγ</w:t>
            </w:r>
            <w:proofErr w:type="spell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保护粘膜屏障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魏志凤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JKLPSE201812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丹参对肿瘤并存缺血性疾病小鼠的影响及机制探讨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王爱云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JKLPSE201813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基于肠道菌群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胆汁酸代谢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-TGR5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信号轴诠释甘草黄酮调控肠黏膜免疫平衡机制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康安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JKLPSE201814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铁皮石斛治疗甲基苯丙胺成瘾行为的活性物质基础及肠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脑轴机制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关晓伟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 w:rsidRPr="00766DD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医学与生命科学学院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JKLPSE201815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莪术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醇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调控肝星状细胞谷氨酰胺代谢抗肝纤维化机制研究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张峰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JKLPSE201816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以丹参为例的中药体内代谢复杂物质体系全解析策略构建研究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张加余</w:t>
            </w:r>
            <w:proofErr w:type="gramEnd"/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JKLPSE201817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新型微管稳定剂</w:t>
            </w:r>
            <w:proofErr w:type="spell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Taccalonolide</w:t>
            </w:r>
            <w:proofErr w:type="spell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AJ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的成药性优化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韩靖</w:t>
            </w:r>
            <w:proofErr w:type="gramEnd"/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JKLPSE201818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ROS/</w:t>
            </w:r>
            <w:proofErr w:type="spell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FoxO</w:t>
            </w:r>
            <w:proofErr w:type="spell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/β-</w:t>
            </w:r>
            <w:proofErr w:type="spell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catenin</w:t>
            </w:r>
            <w:proofErr w:type="spell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探讨当归芍药散中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酸类成分对骨形成的影响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华永庆</w:t>
            </w:r>
            <w:proofErr w:type="gramEnd"/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JKLPSE201819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基于组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学和网络药理学的枳实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白术防治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STC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的药效物质基础及作用机制研究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颜帅</w:t>
            </w:r>
            <w:proofErr w:type="gramEnd"/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苏州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市中医医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JKLPSE201820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基于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肠道菌硫代谢物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的小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檗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碱调控小胶质细胞表型的迷走通路研究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张启春</w:t>
            </w:r>
            <w:proofErr w:type="gramEnd"/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66DD4" w:rsidRPr="001C7B55" w:rsidTr="00766DD4">
        <w:trPr>
          <w:trHeight w:val="276"/>
        </w:trPr>
        <w:tc>
          <w:tcPr>
            <w:tcW w:w="1570" w:type="dxa"/>
            <w:shd w:val="clear" w:color="auto" w:fill="FFFFFF" w:themeFill="background1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JKLPSE201821</w:t>
            </w:r>
          </w:p>
        </w:tc>
        <w:tc>
          <w:tcPr>
            <w:tcW w:w="28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丹</w:t>
            </w:r>
            <w:proofErr w:type="gramStart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酸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的靶点发现及其基于网络扰动分析的抗冠心病作用机制研究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龙军</w:t>
            </w:r>
          </w:p>
        </w:tc>
        <w:tc>
          <w:tcPr>
            <w:tcW w:w="1573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南京中医药大学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20" w:type="dxa"/>
            <w:vAlign w:val="center"/>
          </w:tcPr>
          <w:p w:rsidR="00766DD4" w:rsidRPr="001C7B55" w:rsidRDefault="00766DD4" w:rsidP="00766D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C7B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CA546F" w:rsidRPr="007A5C7D" w:rsidRDefault="00CA546F" w:rsidP="00AD7AF6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</w:p>
    <w:sectPr w:rsidR="00CA546F" w:rsidRPr="007A5C7D" w:rsidSect="00CA546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9E" w:rsidRDefault="008E6E9E" w:rsidP="00CA546F">
      <w:r>
        <w:separator/>
      </w:r>
    </w:p>
  </w:endnote>
  <w:endnote w:type="continuationSeparator" w:id="0">
    <w:p w:rsidR="008E6E9E" w:rsidRDefault="008E6E9E" w:rsidP="00CA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9E" w:rsidRDefault="008E6E9E" w:rsidP="00CA546F">
      <w:r>
        <w:separator/>
      </w:r>
    </w:p>
  </w:footnote>
  <w:footnote w:type="continuationSeparator" w:id="0">
    <w:p w:rsidR="008E6E9E" w:rsidRDefault="008E6E9E" w:rsidP="00CA5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6783D500-F9CB-4DDC-A8C3-82282E5042D7}"/>
    <w:docVar w:name="KY_MEDREF_VERSION" w:val="3"/>
  </w:docVars>
  <w:rsids>
    <w:rsidRoot w:val="00CA546F"/>
    <w:rsid w:val="000D6F99"/>
    <w:rsid w:val="00192D0E"/>
    <w:rsid w:val="001979F1"/>
    <w:rsid w:val="001B2EAE"/>
    <w:rsid w:val="001C7B55"/>
    <w:rsid w:val="00291A4C"/>
    <w:rsid w:val="002A4FBD"/>
    <w:rsid w:val="002B3186"/>
    <w:rsid w:val="002C1F05"/>
    <w:rsid w:val="002C427C"/>
    <w:rsid w:val="002F2C1E"/>
    <w:rsid w:val="00344303"/>
    <w:rsid w:val="00350775"/>
    <w:rsid w:val="003A61F3"/>
    <w:rsid w:val="003D1DD4"/>
    <w:rsid w:val="003F51B9"/>
    <w:rsid w:val="00485447"/>
    <w:rsid w:val="00516B6D"/>
    <w:rsid w:val="00527837"/>
    <w:rsid w:val="00561357"/>
    <w:rsid w:val="005D1D5B"/>
    <w:rsid w:val="005E2277"/>
    <w:rsid w:val="00696DCE"/>
    <w:rsid w:val="006B51D4"/>
    <w:rsid w:val="006C1287"/>
    <w:rsid w:val="00700EF4"/>
    <w:rsid w:val="00704068"/>
    <w:rsid w:val="00766DD4"/>
    <w:rsid w:val="007A5C7D"/>
    <w:rsid w:val="007D39C2"/>
    <w:rsid w:val="007D7BEF"/>
    <w:rsid w:val="007E088A"/>
    <w:rsid w:val="007F246A"/>
    <w:rsid w:val="008A28B9"/>
    <w:rsid w:val="008B12D0"/>
    <w:rsid w:val="008D5168"/>
    <w:rsid w:val="008E6E9E"/>
    <w:rsid w:val="00910CA9"/>
    <w:rsid w:val="00924601"/>
    <w:rsid w:val="0096308C"/>
    <w:rsid w:val="00A40B10"/>
    <w:rsid w:val="00A61B83"/>
    <w:rsid w:val="00AA7BEB"/>
    <w:rsid w:val="00AD7AF6"/>
    <w:rsid w:val="00B521E9"/>
    <w:rsid w:val="00B942B4"/>
    <w:rsid w:val="00BA1B6D"/>
    <w:rsid w:val="00C25531"/>
    <w:rsid w:val="00C30BEF"/>
    <w:rsid w:val="00CA546F"/>
    <w:rsid w:val="00D31A60"/>
    <w:rsid w:val="00D5751A"/>
    <w:rsid w:val="00DA7CB4"/>
    <w:rsid w:val="00E44C10"/>
    <w:rsid w:val="00E86E7D"/>
    <w:rsid w:val="00ED5048"/>
    <w:rsid w:val="00EE3D5A"/>
    <w:rsid w:val="00F55659"/>
    <w:rsid w:val="00F56126"/>
    <w:rsid w:val="00F70921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46F"/>
    <w:rPr>
      <w:sz w:val="18"/>
      <w:szCs w:val="18"/>
    </w:rPr>
  </w:style>
  <w:style w:type="table" w:styleId="a5">
    <w:name w:val="Table Grid"/>
    <w:basedOn w:val="a1"/>
    <w:uiPriority w:val="39"/>
    <w:rsid w:val="00BA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F2C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2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Wenxing</dc:creator>
  <cp:keywords/>
  <dc:description/>
  <cp:lastModifiedBy>邵洁雯</cp:lastModifiedBy>
  <cp:revision>4</cp:revision>
  <cp:lastPrinted>2018-06-27T05:21:00Z</cp:lastPrinted>
  <dcterms:created xsi:type="dcterms:W3CDTF">2018-06-29T09:35:00Z</dcterms:created>
  <dcterms:modified xsi:type="dcterms:W3CDTF">2018-07-02T02:15:00Z</dcterms:modified>
</cp:coreProperties>
</file>