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6"/>
        </w:rPr>
      </w:pPr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附件3</w:t>
      </w:r>
    </w:p>
    <w:p>
      <w:pPr>
        <w:spacing w:before="156" w:beforeLines="50" w:after="156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lang w:val="en-US" w:eastAsia="zh-CN"/>
        </w:rPr>
        <w:t>科研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实验安全隐患自查自纠汇总表</w:t>
      </w:r>
    </w:p>
    <w:p>
      <w:pPr>
        <w:spacing w:before="312" w:beforeLines="100" w:after="156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</w:rPr>
        <w:t>学院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/部门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3"/>
        <w:tblW w:w="13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8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11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/相关场所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12C4"/>
    <w:rsid w:val="57D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2020-07-12T03:54:00Z</dcterms:created>
  <dc:creator>叶杉（Ethen)</dc:creator>
  <cp:lastModifiedBy>叶杉（Ethen)</cp:lastModifiedBy>
  <dcterms:modified xsi:type="dcterms:W3CDTF">2020-07-12T03:55:02Z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