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7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lang w:val="en-US" w:eastAsia="zh-CN" w:bidi="ar"/>
        </w:rPr>
        <w:t>长三角药物高等研究院揭榜挂帅项目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lang w:val="en-US" w:eastAsia="zh-CN" w:bidi="ar"/>
        </w:rPr>
        <w:t>清单</w:t>
      </w:r>
      <w:bookmarkStart w:id="0" w:name="_GoBack"/>
      <w:bookmarkEnd w:id="0"/>
    </w:p>
    <w:tbl>
      <w:tblPr>
        <w:tblStyle w:val="3"/>
        <w:tblW w:w="14789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4"/>
        <w:gridCol w:w="1734"/>
        <w:gridCol w:w="1800"/>
        <w:gridCol w:w="2278"/>
        <w:gridCol w:w="2111"/>
        <w:gridCol w:w="2522"/>
        <w:gridCol w:w="3600"/>
      </w:tblGrid>
      <w:tr w14:paraId="0208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4" w:type="dxa"/>
            <w:vAlign w:val="center"/>
          </w:tcPr>
          <w:p w14:paraId="2CA4C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34" w:type="dxa"/>
            <w:vAlign w:val="center"/>
          </w:tcPr>
          <w:p w14:paraId="20F58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公司名称</w:t>
            </w:r>
          </w:p>
        </w:tc>
        <w:tc>
          <w:tcPr>
            <w:tcW w:w="1800" w:type="dxa"/>
            <w:vAlign w:val="center"/>
          </w:tcPr>
          <w:p w14:paraId="4F215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278" w:type="dxa"/>
            <w:vAlign w:val="center"/>
          </w:tcPr>
          <w:p w14:paraId="48D8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技术需求</w:t>
            </w:r>
          </w:p>
        </w:tc>
        <w:tc>
          <w:tcPr>
            <w:tcW w:w="2111" w:type="dxa"/>
            <w:vAlign w:val="center"/>
          </w:tcPr>
          <w:p w14:paraId="2A51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合作目标</w:t>
            </w:r>
          </w:p>
        </w:tc>
        <w:tc>
          <w:tcPr>
            <w:tcW w:w="2522" w:type="dxa"/>
            <w:vAlign w:val="center"/>
          </w:tcPr>
          <w:p w14:paraId="3AA9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揭榜人/团队</w:t>
            </w:r>
          </w:p>
          <w:p w14:paraId="167C1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3600" w:type="dxa"/>
            <w:vAlign w:val="center"/>
          </w:tcPr>
          <w:p w14:paraId="7B9A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相关研究经历或成果</w:t>
            </w:r>
          </w:p>
        </w:tc>
      </w:tr>
      <w:tr w14:paraId="44BB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 w14:paraId="38A31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34" w:type="dxa"/>
            <w:vAlign w:val="center"/>
          </w:tcPr>
          <w:p w14:paraId="6E1F6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南通聚科生物科技有限公司</w:t>
            </w:r>
          </w:p>
        </w:tc>
        <w:tc>
          <w:tcPr>
            <w:tcW w:w="1800" w:type="dxa"/>
            <w:vAlign w:val="center"/>
          </w:tcPr>
          <w:p w14:paraId="445B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维生素K2微胶囊包埋技术开发</w:t>
            </w:r>
          </w:p>
        </w:tc>
        <w:tc>
          <w:tcPr>
            <w:tcW w:w="2278" w:type="dxa"/>
            <w:vAlign w:val="center"/>
          </w:tcPr>
          <w:p w14:paraId="7CE7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开发维生素K2微胶囊包埋技术，提升其在热稳定性及碱性环境下的稳定性。</w:t>
            </w:r>
          </w:p>
        </w:tc>
        <w:tc>
          <w:tcPr>
            <w:tcW w:w="2111" w:type="dxa"/>
            <w:vAlign w:val="center"/>
          </w:tcPr>
          <w:p w14:paraId="36BD2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解决维生素K2热稳定性差、碱性条件易降解的问题，拓展其在食品、医药等场景的应用。</w:t>
            </w:r>
          </w:p>
        </w:tc>
        <w:tc>
          <w:tcPr>
            <w:tcW w:w="2522" w:type="dxa"/>
            <w:vAlign w:val="center"/>
          </w:tcPr>
          <w:p w14:paraId="5A7D3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0" w:type="dxa"/>
            <w:vAlign w:val="center"/>
          </w:tcPr>
          <w:p w14:paraId="6528C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E50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 w14:paraId="19F1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34" w:type="dxa"/>
            <w:vAlign w:val="center"/>
          </w:tcPr>
          <w:p w14:paraId="49D2E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江苏联海生物科技有限公司</w:t>
            </w:r>
          </w:p>
        </w:tc>
        <w:tc>
          <w:tcPr>
            <w:tcW w:w="1800" w:type="dxa"/>
            <w:vAlign w:val="center"/>
          </w:tcPr>
          <w:p w14:paraId="05EBC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木薯渣生物转化技术开发</w:t>
            </w:r>
          </w:p>
        </w:tc>
        <w:tc>
          <w:tcPr>
            <w:tcW w:w="2278" w:type="dxa"/>
            <w:vAlign w:val="center"/>
          </w:tcPr>
          <w:p w14:paraId="0F47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利用生物转化技术，提高木薯渣中蛋白含量（从13%提升至28%以上）。</w:t>
            </w:r>
          </w:p>
        </w:tc>
        <w:tc>
          <w:tcPr>
            <w:tcW w:w="2111" w:type="dxa"/>
            <w:vAlign w:val="center"/>
          </w:tcPr>
          <w:p w14:paraId="3D682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实现木薯渣资源的高值化利用，降低原料浪费，推动环保型产业链发展。</w:t>
            </w:r>
          </w:p>
        </w:tc>
        <w:tc>
          <w:tcPr>
            <w:tcW w:w="2522" w:type="dxa"/>
            <w:vAlign w:val="center"/>
          </w:tcPr>
          <w:p w14:paraId="129EB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0" w:type="dxa"/>
            <w:vAlign w:val="center"/>
          </w:tcPr>
          <w:p w14:paraId="101D0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EE4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 w14:paraId="2F507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34" w:type="dxa"/>
            <w:vAlign w:val="center"/>
          </w:tcPr>
          <w:p w14:paraId="4DF36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江苏巴帝恩生物科技有限公司</w:t>
            </w:r>
          </w:p>
        </w:tc>
        <w:tc>
          <w:tcPr>
            <w:tcW w:w="1800" w:type="dxa"/>
            <w:vAlign w:val="center"/>
          </w:tcPr>
          <w:p w14:paraId="2D37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发酵法制备玻色因工艺优化</w:t>
            </w:r>
          </w:p>
        </w:tc>
        <w:tc>
          <w:tcPr>
            <w:tcW w:w="2278" w:type="dxa"/>
            <w:vAlign w:val="center"/>
          </w:tcPr>
          <w:p w14:paraId="12D5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探索发酵法制备玻色因的技术路径，替代传统化学合成法。</w:t>
            </w:r>
          </w:p>
        </w:tc>
        <w:tc>
          <w:tcPr>
            <w:tcW w:w="2111" w:type="dxa"/>
            <w:vAlign w:val="center"/>
          </w:tcPr>
          <w:p w14:paraId="25AB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降低玻色因生产成本，提升化妆品中起效浓度性价比，增强市场竞争力。</w:t>
            </w:r>
          </w:p>
        </w:tc>
        <w:tc>
          <w:tcPr>
            <w:tcW w:w="2522" w:type="dxa"/>
            <w:vAlign w:val="center"/>
          </w:tcPr>
          <w:p w14:paraId="7F968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0" w:type="dxa"/>
            <w:vAlign w:val="center"/>
          </w:tcPr>
          <w:p w14:paraId="0BF7F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1CE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 w14:paraId="20E1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34" w:type="dxa"/>
            <w:vAlign w:val="center"/>
          </w:tcPr>
          <w:p w14:paraId="23212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百奥赛图江苏基因生物技术有限公司</w:t>
            </w:r>
          </w:p>
          <w:p w14:paraId="7F6FB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 w14:paraId="4E00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CHO细胞翻译后修饰一致性优化</w:t>
            </w:r>
          </w:p>
        </w:tc>
        <w:tc>
          <w:tcPr>
            <w:tcW w:w="2278" w:type="dxa"/>
            <w:vAlign w:val="center"/>
          </w:tcPr>
          <w:p w14:paraId="714E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解决CHO细胞翻译后修饰差异问题，确保合成生物学改造后修饰一致性。</w:t>
            </w:r>
          </w:p>
        </w:tc>
        <w:tc>
          <w:tcPr>
            <w:tcW w:w="2111" w:type="dxa"/>
            <w:vAlign w:val="center"/>
          </w:tcPr>
          <w:p w14:paraId="3580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保证生物制药产品质量稳定性，避免修饰差异对疗效的影响。</w:t>
            </w:r>
          </w:p>
        </w:tc>
        <w:tc>
          <w:tcPr>
            <w:tcW w:w="2522" w:type="dxa"/>
            <w:vAlign w:val="center"/>
          </w:tcPr>
          <w:p w14:paraId="69496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0" w:type="dxa"/>
            <w:vAlign w:val="center"/>
          </w:tcPr>
          <w:p w14:paraId="7E80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2BE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 w14:paraId="049E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34" w:type="dxa"/>
            <w:vAlign w:val="center"/>
          </w:tcPr>
          <w:p w14:paraId="299E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澳斯康生物（南通）股份有限公司</w:t>
            </w:r>
          </w:p>
        </w:tc>
        <w:tc>
          <w:tcPr>
            <w:tcW w:w="1800" w:type="dxa"/>
            <w:vAlign w:val="center"/>
          </w:tcPr>
          <w:p w14:paraId="1D72F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AI驱动的CHO细胞培养优化系统</w:t>
            </w:r>
          </w:p>
        </w:tc>
        <w:tc>
          <w:tcPr>
            <w:tcW w:w="2278" w:type="dxa"/>
            <w:vAlign w:val="center"/>
          </w:tcPr>
          <w:p w14:paraId="5E53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应用机器学习与人工神经网络技术，优化CHO细胞培养基开发、细胞株构建、工艺开发等全流程。</w:t>
            </w:r>
          </w:p>
        </w:tc>
        <w:tc>
          <w:tcPr>
            <w:tcW w:w="2111" w:type="dxa"/>
            <w:vAlign w:val="center"/>
          </w:tcPr>
          <w:p w14:paraId="0D05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提升AI模型预测准确性，简化生产流程、提高产量、降低成本，实现智能制造管理。</w:t>
            </w:r>
          </w:p>
        </w:tc>
        <w:tc>
          <w:tcPr>
            <w:tcW w:w="2522" w:type="dxa"/>
            <w:vAlign w:val="center"/>
          </w:tcPr>
          <w:p w14:paraId="36A7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0" w:type="dxa"/>
            <w:vAlign w:val="center"/>
          </w:tcPr>
          <w:p w14:paraId="39770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15D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 w14:paraId="3EEF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34" w:type="dxa"/>
            <w:vAlign w:val="center"/>
          </w:tcPr>
          <w:p w14:paraId="4F065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江苏西宝生物医药有限公司</w:t>
            </w:r>
          </w:p>
        </w:tc>
        <w:tc>
          <w:tcPr>
            <w:tcW w:w="1800" w:type="dxa"/>
            <w:vAlign w:val="center"/>
          </w:tcPr>
          <w:p w14:paraId="2458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重组鲎凝血相关蛋白高效表达技术</w:t>
            </w:r>
          </w:p>
        </w:tc>
        <w:tc>
          <w:tcPr>
            <w:tcW w:w="2278" w:type="dxa"/>
            <w:vAlign w:val="center"/>
          </w:tcPr>
          <w:p w14:paraId="56E69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利用基因编辑与细胞培养技术，构建内毒素相关因子高表达细胞株。</w:t>
            </w:r>
          </w:p>
        </w:tc>
        <w:tc>
          <w:tcPr>
            <w:tcW w:w="2111" w:type="dxa"/>
            <w:vAlign w:val="center"/>
          </w:tcPr>
          <w:p w14:paraId="4E95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替代传统鲎试剂，解决鲎资源濒危问题，降低生产成本，提升医药、食品行业检测效率。</w:t>
            </w:r>
          </w:p>
        </w:tc>
        <w:tc>
          <w:tcPr>
            <w:tcW w:w="2522" w:type="dxa"/>
            <w:vAlign w:val="center"/>
          </w:tcPr>
          <w:p w14:paraId="3103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0" w:type="dxa"/>
            <w:vAlign w:val="center"/>
          </w:tcPr>
          <w:p w14:paraId="04F51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CCD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 w14:paraId="4BD2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34" w:type="dxa"/>
            <w:vAlign w:val="center"/>
          </w:tcPr>
          <w:p w14:paraId="253C3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江苏中方基因生物医学科技有限公司</w:t>
            </w:r>
          </w:p>
        </w:tc>
        <w:tc>
          <w:tcPr>
            <w:tcW w:w="1800" w:type="dxa"/>
            <w:vAlign w:val="center"/>
          </w:tcPr>
          <w:p w14:paraId="27A53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抗宫颈癌高危HPV病毒核酸药研发</w:t>
            </w:r>
          </w:p>
        </w:tc>
        <w:tc>
          <w:tcPr>
            <w:tcW w:w="2278" w:type="dxa"/>
            <w:vAlign w:val="center"/>
          </w:tcPr>
          <w:p w14:paraId="36A9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开展原创核酸药成药性研究，针对高危HPV病毒开发治疗药物。</w:t>
            </w:r>
          </w:p>
        </w:tc>
        <w:tc>
          <w:tcPr>
            <w:tcW w:w="2111" w:type="dxa"/>
            <w:vAlign w:val="center"/>
          </w:tcPr>
          <w:p w14:paraId="418B7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推动宫颈癌治疗技术突破，实现抗HPV病毒药物的临床应用。</w:t>
            </w:r>
          </w:p>
        </w:tc>
        <w:tc>
          <w:tcPr>
            <w:tcW w:w="2522" w:type="dxa"/>
            <w:vAlign w:val="center"/>
          </w:tcPr>
          <w:p w14:paraId="242CF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0" w:type="dxa"/>
            <w:vAlign w:val="center"/>
          </w:tcPr>
          <w:p w14:paraId="4A0B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FB8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 w14:paraId="6A238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34" w:type="dxa"/>
            <w:vAlign w:val="center"/>
          </w:tcPr>
          <w:p w14:paraId="6D85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中科基因生物科技（江苏）有限公司</w:t>
            </w:r>
          </w:p>
        </w:tc>
        <w:tc>
          <w:tcPr>
            <w:tcW w:w="1800" w:type="dxa"/>
            <w:vAlign w:val="center"/>
          </w:tcPr>
          <w:p w14:paraId="3894A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肿瘤长读长测序与AI新生抗原分析平台</w:t>
            </w:r>
          </w:p>
        </w:tc>
        <w:tc>
          <w:tcPr>
            <w:tcW w:w="2278" w:type="dxa"/>
            <w:vAlign w:val="center"/>
          </w:tcPr>
          <w:p w14:paraId="60A4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搭建肿瘤长读长高通量测序平台，结合AI分析肿瘤新生抗原。</w:t>
            </w:r>
          </w:p>
        </w:tc>
        <w:tc>
          <w:tcPr>
            <w:tcW w:w="2111" w:type="dxa"/>
            <w:vAlign w:val="center"/>
          </w:tcPr>
          <w:p w14:paraId="053B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提升肿瘤精准诊疗水平，推动个性化免疫治疗方案开发。</w:t>
            </w:r>
          </w:p>
        </w:tc>
        <w:tc>
          <w:tcPr>
            <w:tcW w:w="2522" w:type="dxa"/>
            <w:vAlign w:val="center"/>
          </w:tcPr>
          <w:p w14:paraId="632F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0" w:type="dxa"/>
            <w:vAlign w:val="center"/>
          </w:tcPr>
          <w:p w14:paraId="61D06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AB4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 w14:paraId="7F4B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734" w:type="dxa"/>
            <w:vAlign w:val="center"/>
          </w:tcPr>
          <w:p w14:paraId="6016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江苏海枫达生物科技有限公司</w:t>
            </w:r>
          </w:p>
        </w:tc>
        <w:tc>
          <w:tcPr>
            <w:tcW w:w="1800" w:type="dxa"/>
            <w:vAlign w:val="center"/>
          </w:tcPr>
          <w:p w14:paraId="7D1E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高活性溶菌酶发酵技术产业化</w:t>
            </w:r>
          </w:p>
        </w:tc>
        <w:tc>
          <w:tcPr>
            <w:tcW w:w="2278" w:type="dxa"/>
            <w:vAlign w:val="center"/>
          </w:tcPr>
          <w:p w14:paraId="26A8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优化溶菌酶发酵工艺，实现高活性溶菌酶规模化生产。</w:t>
            </w:r>
          </w:p>
        </w:tc>
        <w:tc>
          <w:tcPr>
            <w:tcW w:w="2111" w:type="dxa"/>
            <w:vAlign w:val="center"/>
          </w:tcPr>
          <w:p w14:paraId="1671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替代化学防腐剂，拓展溶菌酶在食品、医药等领域的应用。</w:t>
            </w:r>
          </w:p>
        </w:tc>
        <w:tc>
          <w:tcPr>
            <w:tcW w:w="2522" w:type="dxa"/>
            <w:vAlign w:val="center"/>
          </w:tcPr>
          <w:p w14:paraId="0E95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0" w:type="dxa"/>
            <w:vAlign w:val="center"/>
          </w:tcPr>
          <w:p w14:paraId="371D4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F50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 w14:paraId="4FED8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34" w:type="dxa"/>
            <w:vAlign w:val="center"/>
          </w:tcPr>
          <w:p w14:paraId="4D1B6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江苏锦瑞制药有限公司</w:t>
            </w:r>
          </w:p>
        </w:tc>
        <w:tc>
          <w:tcPr>
            <w:tcW w:w="1800" w:type="dxa"/>
            <w:vAlign w:val="center"/>
          </w:tcPr>
          <w:p w14:paraId="1B4F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啤酒酵母酶系活性优化增效技术</w:t>
            </w:r>
          </w:p>
        </w:tc>
        <w:tc>
          <w:tcPr>
            <w:tcW w:w="2278" w:type="dxa"/>
            <w:vAlign w:val="center"/>
          </w:tcPr>
          <w:p w14:paraId="72AFA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筛选并优化啤酒酵母酶系活性，提升其催化效率与稳定性。</w:t>
            </w:r>
          </w:p>
        </w:tc>
        <w:tc>
          <w:tcPr>
            <w:tcW w:w="2111" w:type="dxa"/>
            <w:vAlign w:val="center"/>
          </w:tcPr>
          <w:p w14:paraId="3B8E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推动酶制剂在工业发酵中的应用，降低生产成本，提高产品附加值。</w:t>
            </w:r>
          </w:p>
        </w:tc>
        <w:tc>
          <w:tcPr>
            <w:tcW w:w="2522" w:type="dxa"/>
            <w:vAlign w:val="center"/>
          </w:tcPr>
          <w:p w14:paraId="6E1D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0" w:type="dxa"/>
            <w:vAlign w:val="center"/>
          </w:tcPr>
          <w:p w14:paraId="46AE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00A3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E6ABB"/>
    <w:rsid w:val="3DA443AE"/>
    <w:rsid w:val="58236241"/>
    <w:rsid w:val="5F9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1095</Characters>
  <Lines>0</Lines>
  <Paragraphs>0</Paragraphs>
  <TotalTime>48</TotalTime>
  <ScaleCrop>false</ScaleCrop>
  <LinksUpToDate>false</LinksUpToDate>
  <CharactersWithSpaces>1104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2025-03-15T03:00:00Z</dcterms:created>
  <dc:creator>陆</dc:creator>
  <cp:lastModifiedBy>毛妮</cp:lastModifiedBy>
  <dcterms:modified xsi:type="dcterms:W3CDTF">2025-03-17T02:17:55Z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eyJoZGlkIjoiYzMyMzAyMmFlNmUzYWZmYzA3OTFjNDEwY2RmY2E2YjkiLCJ1c2VySWQiOiI5OTc0OTA5MDMifQ==</vt:lpwstr>
  </property>
  <property fmtid="{D5CDD505-2E9C-101B-9397-08002B2CF9AE}" pid="4" name="ICV">
    <vt:lpwstr>777E172B59374796BE54021530B3F65B_13</vt:lpwstr>
  </property>
</Properties>
</file>